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0010B" w14:textId="77777777" w:rsidR="00F54B9F" w:rsidRDefault="00EC6CCE">
      <w:pPr>
        <w:pStyle w:val="Title"/>
      </w:pPr>
      <w:r>
        <w:t>Vacation Petition</w:t>
      </w:r>
      <w:r>
        <w:rPr>
          <w:spacing w:val="1"/>
        </w:rPr>
        <w:t xml:space="preserve"> </w:t>
      </w:r>
      <w:r>
        <w:t>Submission</w:t>
      </w:r>
      <w:r>
        <w:rPr>
          <w:spacing w:val="-17"/>
        </w:rPr>
        <w:t xml:space="preserve"> </w:t>
      </w:r>
      <w:r>
        <w:t>Process</w:t>
      </w:r>
    </w:p>
    <w:p w14:paraId="5324C2FC" w14:textId="77777777" w:rsidR="00F54B9F" w:rsidRDefault="00EC6CCE" w:rsidP="00EC6CCE">
      <w:pPr>
        <w:pStyle w:val="BodyText"/>
        <w:spacing w:before="300" w:line="247" w:lineRule="auto"/>
        <w:ind w:left="90" w:right="459"/>
      </w:pPr>
      <w:r>
        <w:t>The vacation requirements for Public Streets, Lots, and Subdivisions Recorded in Prince George's County</w:t>
      </w:r>
      <w:r>
        <w:rPr>
          <w:spacing w:val="-4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 in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24-112, Subdivision</w:t>
      </w:r>
      <w:r>
        <w:rPr>
          <w:spacing w:val="-1"/>
        </w:rPr>
        <w:t xml:space="preserve"> </w:t>
      </w:r>
      <w:r>
        <w:t>Regulations, and</w:t>
      </w:r>
      <w:r>
        <w:rPr>
          <w:spacing w:val="-2"/>
        </w:rPr>
        <w:t xml:space="preserve"> </w:t>
      </w:r>
      <w:r>
        <w:t>require the</w:t>
      </w:r>
      <w:r>
        <w:rPr>
          <w:spacing w:val="1"/>
        </w:rPr>
        <w:t xml:space="preserve"> </w:t>
      </w:r>
      <w:r>
        <w:t>following:</w:t>
      </w:r>
    </w:p>
    <w:p w14:paraId="44591C08" w14:textId="77777777" w:rsidR="00F54B9F" w:rsidRDefault="00F54B9F">
      <w:pPr>
        <w:pStyle w:val="BodyText"/>
        <w:spacing w:before="9"/>
        <w:rPr>
          <w:sz w:val="21"/>
        </w:rPr>
      </w:pPr>
    </w:p>
    <w:p w14:paraId="29953A9F" w14:textId="1C3103F4" w:rsidR="00F54B9F" w:rsidRDefault="00EC6CCE" w:rsidP="00EC6CCE">
      <w:pPr>
        <w:pStyle w:val="ListParagraph"/>
        <w:numPr>
          <w:ilvl w:val="0"/>
          <w:numId w:val="1"/>
        </w:numPr>
        <w:tabs>
          <w:tab w:val="left" w:pos="810"/>
        </w:tabs>
        <w:spacing w:line="274" w:lineRule="exact"/>
        <w:ind w:left="810" w:right="514" w:hanging="360"/>
        <w:jc w:val="left"/>
      </w:pPr>
      <w:r w:rsidRPr="000021BF">
        <w:rPr>
          <w:spacing w:val="-4"/>
        </w:rPr>
        <w:t xml:space="preserve">The petitioner for the vacation of streets and/or lots in the </w:t>
      </w:r>
      <w:proofErr w:type="gramStart"/>
      <w:r w:rsidRPr="000021BF">
        <w:rPr>
          <w:spacing w:val="-4"/>
        </w:rPr>
        <w:t>plat</w:t>
      </w:r>
      <w:proofErr w:type="gramEnd"/>
      <w:r w:rsidRPr="000021BF">
        <w:rPr>
          <w:spacing w:val="-4"/>
        </w:rPr>
        <w:t xml:space="preserve"> of subdivision shall be the owner of the property. The original Vacation Petition shall include the signatures of all owners of land to be vacated</w:t>
      </w:r>
      <w:r w:rsidR="000021BF">
        <w:rPr>
          <w:spacing w:val="-4"/>
        </w:rPr>
        <w:br/>
      </w:r>
      <w:r w:rsidR="000021BF">
        <w:tab/>
      </w:r>
      <w:r w:rsidR="000021BF">
        <w:tab/>
      </w:r>
      <w:r w:rsidR="000021BF">
        <w:tab/>
      </w:r>
      <w:r w:rsidR="000021BF">
        <w:tab/>
      </w:r>
      <w:r w:rsidR="000021BF">
        <w:tab/>
      </w:r>
      <w:r w:rsidR="000021BF">
        <w:tab/>
      </w:r>
      <w:r w:rsidR="000021BF">
        <w:tab/>
      </w:r>
      <w:r w:rsidR="000021BF">
        <w:tab/>
      </w:r>
      <w:r w:rsidR="000021BF">
        <w:tab/>
      </w:r>
      <w:r w:rsidR="000021BF">
        <w:tab/>
      </w:r>
      <w:r w:rsidR="000021BF">
        <w:tab/>
      </w:r>
      <w:r w:rsidR="000021BF" w:rsidRPr="000021BF">
        <w:rPr>
          <w:sz w:val="16"/>
          <w:szCs w:val="16"/>
        </w:rPr>
        <w:t>Rev. 02/2021</w:t>
      </w:r>
    </w:p>
    <w:p w14:paraId="7D44751A" w14:textId="715CAEC5" w:rsidR="00F54B9F" w:rsidRPr="000021BF" w:rsidRDefault="00EC6CCE" w:rsidP="000021BF">
      <w:pPr>
        <w:pStyle w:val="ListParagraph"/>
        <w:numPr>
          <w:ilvl w:val="0"/>
          <w:numId w:val="1"/>
        </w:numPr>
        <w:tabs>
          <w:tab w:val="left" w:pos="810"/>
        </w:tabs>
        <w:spacing w:before="60"/>
        <w:ind w:left="810" w:right="1347" w:hanging="360"/>
        <w:jc w:val="both"/>
        <w:rPr>
          <w:spacing w:val="-4"/>
        </w:rPr>
      </w:pPr>
      <w:r w:rsidRPr="000021BF">
        <w:rPr>
          <w:spacing w:val="-4"/>
        </w:rPr>
        <w:t>The following documents shall be (8.5 x 11) labeled exhibits accompanying</w:t>
      </w:r>
      <w:r w:rsidR="000021BF" w:rsidRPr="000021BF">
        <w:rPr>
          <w:spacing w:val="-4"/>
        </w:rPr>
        <w:t xml:space="preserve"> </w:t>
      </w:r>
      <w:r w:rsidRPr="000021BF">
        <w:rPr>
          <w:spacing w:val="-4"/>
        </w:rPr>
        <w:t>the vacation petition:</w:t>
      </w:r>
    </w:p>
    <w:p w14:paraId="221183EF" w14:textId="77777777" w:rsidR="00F54B9F" w:rsidRDefault="00EC6CCE" w:rsidP="00EC6CCE">
      <w:pPr>
        <w:pStyle w:val="ListParagraph"/>
        <w:numPr>
          <w:ilvl w:val="1"/>
          <w:numId w:val="1"/>
        </w:numPr>
        <w:tabs>
          <w:tab w:val="left" w:pos="1710"/>
        </w:tabs>
        <w:spacing w:before="60"/>
        <w:ind w:left="1710" w:hanging="540"/>
      </w:pP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3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plat</w:t>
      </w:r>
    </w:p>
    <w:p w14:paraId="1C08F0A7" w14:textId="77777777" w:rsidR="00F54B9F" w:rsidRDefault="00EC6CCE" w:rsidP="000021BF">
      <w:pPr>
        <w:pStyle w:val="ListParagraph"/>
        <w:numPr>
          <w:ilvl w:val="1"/>
          <w:numId w:val="1"/>
        </w:numPr>
        <w:tabs>
          <w:tab w:val="left" w:pos="1710"/>
        </w:tabs>
        <w:ind w:left="1710" w:right="1546" w:hanging="540"/>
      </w:pPr>
      <w:r>
        <w:t>A</w:t>
      </w:r>
      <w:r>
        <w:rPr>
          <w:spacing w:val="2"/>
        </w:rPr>
        <w:t xml:space="preserve"> </w:t>
      </w:r>
      <w:proofErr w:type="gramStart"/>
      <w:r>
        <w:t>plat</w:t>
      </w:r>
      <w:proofErr w:type="gramEnd"/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computation,</w:t>
      </w:r>
      <w:r>
        <w:rPr>
          <w:spacing w:val="11"/>
        </w:rPr>
        <w:t xml:space="preserve"> </w:t>
      </w:r>
      <w:r>
        <w:t>showing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square</w:t>
      </w:r>
      <w:r>
        <w:rPr>
          <w:spacing w:val="3"/>
        </w:rPr>
        <w:t xml:space="preserve"> </w:t>
      </w:r>
      <w:r>
        <w:t>footage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area</w:t>
      </w:r>
      <w:r>
        <w:rPr>
          <w:spacing w:val="2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be</w:t>
      </w:r>
      <w:r>
        <w:rPr>
          <w:spacing w:val="-43"/>
        </w:rPr>
        <w:t xml:space="preserve"> </w:t>
      </w:r>
      <w:r>
        <w:t>vacated</w:t>
      </w:r>
    </w:p>
    <w:p w14:paraId="3FDEE4DC" w14:textId="65E65FAC" w:rsidR="00F54B9F" w:rsidRDefault="00EC6CCE" w:rsidP="000021BF">
      <w:pPr>
        <w:pStyle w:val="ListParagraph"/>
        <w:numPr>
          <w:ilvl w:val="1"/>
          <w:numId w:val="1"/>
        </w:numPr>
        <w:tabs>
          <w:tab w:val="left" w:pos="1710"/>
        </w:tabs>
        <w:ind w:left="1710" w:right="1006" w:hanging="540"/>
      </w:pPr>
      <w:r>
        <w:t>A</w:t>
      </w:r>
      <w:r>
        <w:rPr>
          <w:spacing w:val="20"/>
        </w:rPr>
        <w:t xml:space="preserve"> </w:t>
      </w:r>
      <w:proofErr w:type="gramStart"/>
      <w:r>
        <w:t>metes</w:t>
      </w:r>
      <w:proofErr w:type="gramEnd"/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bounds</w:t>
      </w:r>
      <w:r>
        <w:rPr>
          <w:spacing w:val="21"/>
        </w:rPr>
        <w:t xml:space="preserve"> </w:t>
      </w:r>
      <w:r>
        <w:t>description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area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vacated,</w:t>
      </w:r>
      <w:r>
        <w:rPr>
          <w:spacing w:val="24"/>
        </w:rPr>
        <w:t xml:space="preserve"> </w:t>
      </w:r>
      <w:r>
        <w:t>certified</w:t>
      </w:r>
      <w:r w:rsidR="00171553"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property line</w:t>
      </w:r>
      <w:r>
        <w:rPr>
          <w:spacing w:val="-2"/>
        </w:rPr>
        <w:t xml:space="preserve"> </w:t>
      </w:r>
      <w:r>
        <w:t>surveyor or</w:t>
      </w:r>
      <w:r>
        <w:rPr>
          <w:spacing w:val="-1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land</w:t>
      </w:r>
      <w:r w:rsidR="00171553">
        <w:t xml:space="preserve"> </w:t>
      </w:r>
      <w:r>
        <w:t>surveyor</w:t>
      </w:r>
    </w:p>
    <w:p w14:paraId="19354F7D" w14:textId="77777777" w:rsidR="00F54B9F" w:rsidRDefault="00EC6CCE" w:rsidP="000021BF">
      <w:pPr>
        <w:pStyle w:val="ListParagraph"/>
        <w:numPr>
          <w:ilvl w:val="1"/>
          <w:numId w:val="1"/>
        </w:numPr>
        <w:tabs>
          <w:tab w:val="left" w:pos="1710"/>
        </w:tabs>
        <w:ind w:left="1710" w:hanging="540"/>
      </w:pPr>
      <w:r>
        <w:t>A draft</w:t>
      </w:r>
      <w:r>
        <w:rPr>
          <w:spacing w:val="1"/>
        </w:rPr>
        <w:t xml:space="preserve"> </w:t>
      </w:r>
      <w:r>
        <w:t>minor</w:t>
      </w:r>
      <w:r>
        <w:rPr>
          <w:spacing w:val="10"/>
        </w:rPr>
        <w:t xml:space="preserve"> </w:t>
      </w:r>
      <w:r>
        <w:t>final</w:t>
      </w:r>
      <w:r>
        <w:rPr>
          <w:spacing w:val="11"/>
        </w:rPr>
        <w:t xml:space="preserve"> </w:t>
      </w:r>
      <w:proofErr w:type="gramStart"/>
      <w:r>
        <w:t>plat</w:t>
      </w:r>
      <w:proofErr w:type="gramEnd"/>
      <w:r>
        <w:rPr>
          <w:spacing w:val="12"/>
        </w:rPr>
        <w:t xml:space="preserve"> </w:t>
      </w:r>
      <w:r>
        <w:t>incorporating the</w:t>
      </w:r>
      <w:r>
        <w:rPr>
          <w:spacing w:val="2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vacated</w:t>
      </w:r>
    </w:p>
    <w:p w14:paraId="3718F344" w14:textId="77777777" w:rsidR="00F54B9F" w:rsidRPr="00E057A3" w:rsidRDefault="00EC6CCE" w:rsidP="000021BF">
      <w:pPr>
        <w:pStyle w:val="ListParagraph"/>
        <w:numPr>
          <w:ilvl w:val="1"/>
          <w:numId w:val="1"/>
        </w:numPr>
        <w:tabs>
          <w:tab w:val="left" w:pos="1710"/>
        </w:tabs>
        <w:ind w:left="1710" w:hanging="540"/>
      </w:pPr>
      <w:r w:rsidRPr="00E057A3">
        <w:t>A</w:t>
      </w:r>
      <w:r w:rsidRPr="00E057A3">
        <w:rPr>
          <w:spacing w:val="-3"/>
        </w:rPr>
        <w:t xml:space="preserve"> </w:t>
      </w:r>
      <w:r w:rsidRPr="00E057A3">
        <w:t>zoning</w:t>
      </w:r>
      <w:r w:rsidRPr="00E057A3">
        <w:rPr>
          <w:spacing w:val="-2"/>
        </w:rPr>
        <w:t xml:space="preserve"> </w:t>
      </w:r>
      <w:r w:rsidRPr="00E057A3">
        <w:t>sketch</w:t>
      </w:r>
      <w:r w:rsidRPr="00E057A3">
        <w:rPr>
          <w:spacing w:val="-2"/>
        </w:rPr>
        <w:t xml:space="preserve"> </w:t>
      </w:r>
      <w:r w:rsidRPr="00E057A3">
        <w:t>map</w:t>
      </w:r>
      <w:r w:rsidRPr="00E057A3">
        <w:rPr>
          <w:spacing w:val="-1"/>
        </w:rPr>
        <w:t xml:space="preserve"> </w:t>
      </w:r>
      <w:r w:rsidRPr="00E057A3">
        <w:t>of</w:t>
      </w:r>
      <w:r w:rsidRPr="00E057A3">
        <w:rPr>
          <w:spacing w:val="-1"/>
        </w:rPr>
        <w:t xml:space="preserve"> </w:t>
      </w:r>
      <w:r w:rsidRPr="00E057A3">
        <w:t>the</w:t>
      </w:r>
      <w:r w:rsidRPr="00E057A3">
        <w:rPr>
          <w:spacing w:val="-3"/>
        </w:rPr>
        <w:t xml:space="preserve"> </w:t>
      </w:r>
      <w:r w:rsidRPr="00E057A3">
        <w:t>area</w:t>
      </w:r>
      <w:r w:rsidRPr="00E057A3">
        <w:rPr>
          <w:spacing w:val="-1"/>
        </w:rPr>
        <w:t xml:space="preserve"> </w:t>
      </w:r>
      <w:r w:rsidRPr="00E057A3">
        <w:t>to</w:t>
      </w:r>
      <w:r w:rsidRPr="00E057A3">
        <w:rPr>
          <w:spacing w:val="-1"/>
        </w:rPr>
        <w:t xml:space="preserve"> </w:t>
      </w:r>
      <w:r w:rsidRPr="00E057A3">
        <w:t>be</w:t>
      </w:r>
      <w:r w:rsidRPr="00E057A3">
        <w:rPr>
          <w:spacing w:val="-11"/>
        </w:rPr>
        <w:t xml:space="preserve"> </w:t>
      </w:r>
      <w:r w:rsidRPr="00E057A3">
        <w:t>vacated</w:t>
      </w:r>
    </w:p>
    <w:p w14:paraId="5986ECD4" w14:textId="54840242" w:rsidR="00F54B9F" w:rsidRPr="00E057A3" w:rsidRDefault="00EC6CCE" w:rsidP="00E057A3">
      <w:r>
        <w:t>The applicant shall file an affidavit of the mailing and a copy of the mailing list and</w:t>
      </w:r>
      <w:r>
        <w:rPr>
          <w:spacing w:val="-43"/>
        </w:rPr>
        <w:t xml:space="preserve"> </w:t>
      </w:r>
      <w:r>
        <w:t xml:space="preserve">letter sent to all owners of abutting </w:t>
      </w:r>
      <w:r w:rsidRPr="00E057A3">
        <w:t xml:space="preserve">properties </w:t>
      </w:r>
      <w:r w:rsidRPr="00AC55E9">
        <w:t>(</w:t>
      </w:r>
      <w:hyperlink r:id="rId7" w:history="1">
        <w:r w:rsidRPr="00AC55E9">
          <w:rPr>
            <w:rStyle w:val="Hyperlink"/>
          </w:rPr>
          <w:t>See Sample Letter for</w:t>
        </w:r>
        <w:r w:rsidR="000021BF" w:rsidRPr="00AC55E9">
          <w:rPr>
            <w:rStyle w:val="Hyperlink"/>
          </w:rPr>
          <w:t xml:space="preserve"> </w:t>
        </w:r>
        <w:r w:rsidRPr="00AC55E9">
          <w:rPr>
            <w:rStyle w:val="Hyperlink"/>
          </w:rPr>
          <w:t>formal acceptance mailing</w:t>
        </w:r>
      </w:hyperlink>
      <w:r w:rsidRPr="00AC55E9">
        <w:t>).</w:t>
      </w:r>
    </w:p>
    <w:p w14:paraId="192CC541" w14:textId="2504CDBD" w:rsidR="00F54B9F" w:rsidRDefault="00EC6CCE" w:rsidP="00EC6CCE">
      <w:pPr>
        <w:pStyle w:val="ListParagraph"/>
        <w:numPr>
          <w:ilvl w:val="0"/>
          <w:numId w:val="1"/>
        </w:numPr>
        <w:tabs>
          <w:tab w:val="left" w:pos="810"/>
        </w:tabs>
        <w:spacing w:before="100" w:line="244" w:lineRule="auto"/>
        <w:ind w:left="810" w:right="622" w:hanging="360"/>
        <w:jc w:val="left"/>
      </w:pPr>
      <w:r>
        <w:t>The</w:t>
      </w:r>
      <w:r>
        <w:rPr>
          <w:spacing w:val="-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(30) days</w:t>
      </w:r>
      <w:r>
        <w:rPr>
          <w:spacing w:val="-7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scheduled</w:t>
      </w:r>
      <w:r>
        <w:rPr>
          <w:spacing w:val="-2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Board</w:t>
      </w:r>
      <w:r>
        <w:rPr>
          <w:spacing w:val="-42"/>
        </w:rPr>
        <w:t xml:space="preserve"> </w:t>
      </w:r>
      <w:r>
        <w:t xml:space="preserve">hearing date. </w:t>
      </w:r>
      <w:proofErr w:type="gramStart"/>
      <w:r>
        <w:t>A posting affidavit</w:t>
      </w:r>
      <w:proofErr w:type="gramEnd"/>
      <w:r>
        <w:t xml:space="preserve"> and photos are required to be submitted prior to the</w:t>
      </w:r>
      <w:r>
        <w:rPr>
          <w:spacing w:val="1"/>
        </w:rPr>
        <w:t xml:space="preserve"> </w:t>
      </w:r>
      <w:r>
        <w:t>Planning Board hearing date (cost</w:t>
      </w:r>
      <w:r>
        <w:rPr>
          <w:spacing w:val="45"/>
        </w:rPr>
        <w:t xml:space="preserve"> </w:t>
      </w:r>
      <w:r>
        <w:t>of signs</w:t>
      </w:r>
      <w:r>
        <w:rPr>
          <w:spacing w:val="46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determined</w:t>
      </w:r>
      <w:r w:rsidR="000021BF">
        <w:t xml:space="preserve"> </w:t>
      </w:r>
      <w:r>
        <w:t>after</w:t>
      </w:r>
      <w:r>
        <w:rPr>
          <w:spacing w:val="45"/>
        </w:rPr>
        <w:t xml:space="preserve"> </w:t>
      </w:r>
      <w:r>
        <w:t>petition</w:t>
      </w:r>
      <w:r>
        <w:rPr>
          <w:spacing w:val="46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t>reviewed).</w:t>
      </w:r>
      <w:r>
        <w:rPr>
          <w:spacing w:val="14"/>
        </w:rPr>
        <w:t xml:space="preserve"> </w:t>
      </w:r>
      <w:r>
        <w:t>Posting</w:t>
      </w:r>
      <w:r>
        <w:rPr>
          <w:spacing w:val="14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minor</w:t>
      </w:r>
      <w:r>
        <w:rPr>
          <w:spacing w:val="11"/>
        </w:rPr>
        <w:t xml:space="preserve"> </w:t>
      </w:r>
      <w:r>
        <w:t>vacation</w:t>
      </w:r>
      <w:r>
        <w:rPr>
          <w:spacing w:val="16"/>
        </w:rPr>
        <w:t xml:space="preserve"> </w:t>
      </w:r>
      <w:r>
        <w:t>petitions.</w:t>
      </w:r>
    </w:p>
    <w:p w14:paraId="145B551B" w14:textId="0A2ABF98" w:rsidR="00F54B9F" w:rsidRDefault="00EC6CCE" w:rsidP="00EC6CCE">
      <w:pPr>
        <w:pStyle w:val="ListParagraph"/>
        <w:numPr>
          <w:ilvl w:val="0"/>
          <w:numId w:val="1"/>
        </w:numPr>
        <w:tabs>
          <w:tab w:val="left" w:pos="810"/>
        </w:tabs>
        <w:spacing w:line="244" w:lineRule="auto"/>
        <w:ind w:left="810" w:right="586" w:hanging="360"/>
        <w:jc w:val="left"/>
      </w:pPr>
      <w:r>
        <w:t>The signed minor final plat (mylar) shall be submitted to incorporate the vacated area,</w:t>
      </w:r>
      <w:r>
        <w:rPr>
          <w:spacing w:val="-43"/>
        </w:rPr>
        <w:t xml:space="preserve"> </w:t>
      </w:r>
      <w:r>
        <w:t>in accordance with Section 24-108(a)(3), prior to scheduling of the Planning Board</w:t>
      </w:r>
      <w:r>
        <w:rPr>
          <w:spacing w:val="1"/>
        </w:rPr>
        <w:t xml:space="preserve"> </w:t>
      </w:r>
      <w:r>
        <w:t xml:space="preserve">hearing, or approval by the Planning Director. The final </w:t>
      </w:r>
      <w:proofErr w:type="gramStart"/>
      <w:r>
        <w:t>plat</w:t>
      </w:r>
      <w:proofErr w:type="gramEnd"/>
      <w:r>
        <w:t xml:space="preserve"> will be formally accepted</w:t>
      </w:r>
      <w:r>
        <w:rPr>
          <w:spacing w:val="1"/>
        </w:rPr>
        <w:t xml:space="preserve"> </w:t>
      </w:r>
      <w:r>
        <w:t>after the Vacation Petition resolution is adopted by the</w:t>
      </w:r>
      <w:r w:rsidR="000021BF">
        <w:t xml:space="preserve"> </w:t>
      </w:r>
      <w:r>
        <w:t>Planning Board (major) or</w:t>
      </w:r>
      <w:r>
        <w:rPr>
          <w:spacing w:val="1"/>
        </w:rPr>
        <w:t xml:space="preserve"> </w:t>
      </w:r>
      <w:r>
        <w:t>signature approval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Planning</w:t>
      </w:r>
      <w:r>
        <w:rPr>
          <w:spacing w:val="-20"/>
        </w:rPr>
        <w:t xml:space="preserve"> </w:t>
      </w:r>
      <w:r>
        <w:t>Director.</w:t>
      </w:r>
    </w:p>
    <w:p w14:paraId="444DDC0A" w14:textId="77777777" w:rsidR="00F54B9F" w:rsidRDefault="00EC6CCE" w:rsidP="00EC6CCE">
      <w:pPr>
        <w:pStyle w:val="ListParagraph"/>
        <w:numPr>
          <w:ilvl w:val="0"/>
          <w:numId w:val="1"/>
        </w:numPr>
        <w:tabs>
          <w:tab w:val="left" w:pos="810"/>
        </w:tabs>
        <w:spacing w:line="244" w:lineRule="auto"/>
        <w:ind w:left="810" w:right="531" w:hanging="360"/>
        <w:jc w:val="left"/>
      </w:pPr>
      <w:r>
        <w:t>The Planning Board shall seek the consent of the Washington Suburban Sanitary</w:t>
      </w:r>
      <w:r>
        <w:rPr>
          <w:spacing w:val="1"/>
        </w:rPr>
        <w:t xml:space="preserve"> </w:t>
      </w:r>
      <w:r>
        <w:t>Commission (WSSC), the Prince George’s County Department of Public Works and</w:t>
      </w:r>
      <w:r>
        <w:rPr>
          <w:spacing w:val="1"/>
        </w:rPr>
        <w:t xml:space="preserve"> </w:t>
      </w:r>
      <w:r>
        <w:t>Transportation (DPW&amp;T), and the governing officials of any incorporated municipality</w:t>
      </w:r>
      <w:r>
        <w:rPr>
          <w:spacing w:val="-4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which the</w:t>
      </w:r>
      <w:r>
        <w:rPr>
          <w:spacing w:val="1"/>
        </w:rPr>
        <w:t xml:space="preserve"> </w:t>
      </w:r>
      <w:r>
        <w:t>subdivision is located.</w:t>
      </w:r>
    </w:p>
    <w:p w14:paraId="52D0D0D7" w14:textId="0BA9BFAB" w:rsidR="00F54B9F" w:rsidRPr="000021BF" w:rsidRDefault="00EC6CCE" w:rsidP="000021BF">
      <w:pPr>
        <w:pStyle w:val="ListParagraph"/>
        <w:numPr>
          <w:ilvl w:val="0"/>
          <w:numId w:val="1"/>
        </w:numPr>
        <w:tabs>
          <w:tab w:val="left" w:pos="810"/>
        </w:tabs>
        <w:spacing w:before="90" w:line="244" w:lineRule="auto"/>
        <w:ind w:left="810" w:right="200" w:hanging="360"/>
        <w:jc w:val="both"/>
        <w:rPr>
          <w:spacing w:val="-2"/>
        </w:rPr>
      </w:pPr>
      <w:r w:rsidRPr="000021BF">
        <w:rPr>
          <w:spacing w:val="-2"/>
        </w:rPr>
        <w:t>The Planning Board shall notify each applicable public utility, in writing, which</w:t>
      </w:r>
      <w:r w:rsidR="000021BF" w:rsidRPr="000021BF">
        <w:rPr>
          <w:spacing w:val="-2"/>
        </w:rPr>
        <w:t xml:space="preserve"> </w:t>
      </w:r>
      <w:r w:rsidRPr="000021BF">
        <w:rPr>
          <w:spacing w:val="-2"/>
        </w:rPr>
        <w:t>is franchised to provide services within the area of the subdivision, of the petition and provide thirty (30) calendar days to comment.</w:t>
      </w:r>
    </w:p>
    <w:p w14:paraId="0DC9EDDC" w14:textId="1F8AECEC" w:rsidR="00F54B9F" w:rsidRDefault="00EC6CCE" w:rsidP="00EC6CCE">
      <w:pPr>
        <w:pStyle w:val="ListParagraph"/>
        <w:numPr>
          <w:ilvl w:val="0"/>
          <w:numId w:val="1"/>
        </w:numPr>
        <w:tabs>
          <w:tab w:val="left" w:pos="810"/>
        </w:tabs>
        <w:ind w:left="810" w:right="403" w:hanging="360"/>
        <w:jc w:val="left"/>
      </w:pPr>
      <w:r>
        <w:t xml:space="preserve">The Planning Board shall obtain and have the written consent of </w:t>
      </w:r>
      <w:proofErr w:type="gramStart"/>
      <w:r>
        <w:t>any</w:t>
      </w:r>
      <w:proofErr w:type="gramEnd"/>
      <w:r>
        <w:t xml:space="preserve"> agencies</w:t>
      </w:r>
      <w:r w:rsidR="000021BF">
        <w:t xml:space="preserve"> </w:t>
      </w:r>
      <w:r>
        <w:t>or utilities having</w:t>
      </w:r>
      <w:r>
        <w:rPr>
          <w:spacing w:val="-43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in any area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vacated.</w:t>
      </w:r>
    </w:p>
    <w:p w14:paraId="7F5C6EE9" w14:textId="77777777" w:rsidR="00F54B9F" w:rsidRDefault="00EC6CCE" w:rsidP="00EC6CCE">
      <w:pPr>
        <w:pStyle w:val="ListParagraph"/>
        <w:numPr>
          <w:ilvl w:val="0"/>
          <w:numId w:val="1"/>
        </w:numPr>
        <w:tabs>
          <w:tab w:val="left" w:pos="810"/>
        </w:tabs>
        <w:spacing w:line="244" w:lineRule="auto"/>
        <w:ind w:left="810" w:right="376" w:hanging="360"/>
        <w:jc w:val="left"/>
      </w:pPr>
      <w:r>
        <w:t>In the case of a right-of-way which is in use by the general public at the time of the petition or</w:t>
      </w:r>
      <w:r>
        <w:rPr>
          <w:spacing w:val="1"/>
        </w:rPr>
        <w:t xml:space="preserve"> </w:t>
      </w:r>
      <w:r>
        <w:t>within the preceding year, the procedures required by</w:t>
      </w:r>
      <w:r>
        <w:rPr>
          <w:color w:val="0561C1"/>
        </w:rPr>
        <w:t xml:space="preserve"> </w:t>
      </w:r>
      <w:hyperlink r:id="rId8">
        <w:r w:rsidRPr="00AC55E9">
          <w:rPr>
            <w:rStyle w:val="Hyperlink"/>
          </w:rPr>
          <w:t>Subtitle23</w:t>
        </w:r>
      </w:hyperlink>
      <w:hyperlink r:id="rId9">
        <w:r w:rsidRPr="00AC55E9">
          <w:rPr>
            <w:rStyle w:val="Hyperlink"/>
          </w:rPr>
          <w:t xml:space="preserve">, Division 5, </w:t>
        </w:r>
      </w:hyperlink>
      <w:r>
        <w:t>of the County Code</w:t>
      </w:r>
      <w:r>
        <w:rPr>
          <w:spacing w:val="-43"/>
        </w:rPr>
        <w:t xml:space="preserve"> </w:t>
      </w:r>
      <w:r>
        <w:t>shall have been</w:t>
      </w:r>
      <w:r>
        <w:rPr>
          <w:spacing w:val="-3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petition.</w:t>
      </w:r>
    </w:p>
    <w:p w14:paraId="1817D011" w14:textId="77777777" w:rsidR="00F54B9F" w:rsidRDefault="00F54B9F">
      <w:pPr>
        <w:pStyle w:val="BodyText"/>
        <w:spacing w:before="2"/>
      </w:pPr>
    </w:p>
    <w:p w14:paraId="6495D38C" w14:textId="1F53AC09" w:rsidR="00F54B9F" w:rsidRDefault="00EC6CCE">
      <w:pPr>
        <w:pStyle w:val="BodyText"/>
        <w:spacing w:before="1" w:line="247" w:lineRule="auto"/>
        <w:ind w:left="101" w:right="128" w:hanging="1"/>
      </w:pPr>
      <w:r>
        <w:t xml:space="preserve">The petitioner and/or agent shall submit a complete package, along with the </w:t>
      </w:r>
      <w:r w:rsidRPr="00E057A3">
        <w:t>required filing fee to the Applications</w:t>
      </w:r>
      <w:r w:rsidRPr="00E057A3">
        <w:rPr>
          <w:spacing w:val="-43"/>
        </w:rPr>
        <w:t xml:space="preserve"> </w:t>
      </w:r>
      <w:r w:rsidRPr="00E057A3">
        <w:t>Section</w:t>
      </w:r>
      <w:r w:rsidRPr="00E057A3">
        <w:rPr>
          <w:spacing w:val="-2"/>
        </w:rPr>
        <w:t xml:space="preserve"> </w:t>
      </w:r>
      <w:r w:rsidRPr="00E057A3">
        <w:t>for</w:t>
      </w:r>
      <w:r w:rsidRPr="00E057A3">
        <w:rPr>
          <w:spacing w:val="-3"/>
        </w:rPr>
        <w:t xml:space="preserve"> </w:t>
      </w:r>
      <w:r w:rsidRPr="00E057A3">
        <w:t>processing.</w:t>
      </w:r>
      <w:r w:rsidRPr="00E057A3">
        <w:rPr>
          <w:spacing w:val="-1"/>
        </w:rPr>
        <w:t xml:space="preserve"> </w:t>
      </w:r>
      <w:r w:rsidRPr="00E057A3">
        <w:t>Example</w:t>
      </w:r>
      <w:r w:rsidRPr="00E057A3">
        <w:rPr>
          <w:spacing w:val="-3"/>
        </w:rPr>
        <w:t xml:space="preserve"> </w:t>
      </w:r>
      <w:r w:rsidRPr="00E057A3">
        <w:t>Vacation</w:t>
      </w:r>
      <w:r w:rsidRPr="00E057A3">
        <w:rPr>
          <w:spacing w:val="-1"/>
        </w:rPr>
        <w:t xml:space="preserve"> </w:t>
      </w:r>
      <w:r w:rsidRPr="00E057A3">
        <w:t>Petition</w:t>
      </w:r>
      <w:r w:rsidRPr="00E057A3">
        <w:rPr>
          <w:spacing w:val="-2"/>
        </w:rPr>
        <w:t xml:space="preserve"> </w:t>
      </w:r>
      <w:r w:rsidRPr="00E057A3">
        <w:t>templates</w:t>
      </w:r>
      <w:r w:rsidRPr="00E057A3">
        <w:rPr>
          <w:spacing w:val="-1"/>
        </w:rPr>
        <w:t xml:space="preserve"> </w:t>
      </w:r>
      <w:r w:rsidRPr="00E057A3">
        <w:t>are published</w:t>
      </w:r>
      <w:r w:rsidRPr="00E057A3">
        <w:rPr>
          <w:spacing w:val="-2"/>
        </w:rPr>
        <w:t xml:space="preserve"> </w:t>
      </w:r>
      <w:r w:rsidRPr="00E057A3">
        <w:t>here</w:t>
      </w:r>
      <w:r w:rsidRPr="00E057A3">
        <w:rPr>
          <w:spacing w:val="-3"/>
        </w:rPr>
        <w:t xml:space="preserve"> </w:t>
      </w:r>
      <w:r w:rsidRPr="00E057A3">
        <w:t>for</w:t>
      </w:r>
      <w:r w:rsidRPr="00E057A3">
        <w:rPr>
          <w:spacing w:val="-3"/>
        </w:rPr>
        <w:t xml:space="preserve"> </w:t>
      </w:r>
      <w:hyperlink r:id="rId10" w:history="1">
        <w:r w:rsidRPr="00AC55E9">
          <w:rPr>
            <w:rStyle w:val="Hyperlink"/>
          </w:rPr>
          <w:t>minor</w:t>
        </w:r>
      </w:hyperlink>
      <w:r w:rsidRPr="00E057A3">
        <w:rPr>
          <w:color w:val="0561C1"/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petitions.</w:t>
      </w:r>
    </w:p>
    <w:p w14:paraId="00A96450" w14:textId="77777777" w:rsidR="00F54B9F" w:rsidRDefault="00EC6CCE">
      <w:pPr>
        <w:pStyle w:val="BodyText"/>
        <w:spacing w:before="100" w:line="247" w:lineRule="auto"/>
        <w:ind w:left="100" w:right="91"/>
      </w:pPr>
      <w:r>
        <w:t>After the Planning Board or Planning Director has acted on the Vacation Petition, a copy of the signed Petition and</w:t>
      </w:r>
      <w:r>
        <w:rPr>
          <w:spacing w:val="-43"/>
        </w:rPr>
        <w:t xml:space="preserve"> </w:t>
      </w:r>
      <w:r>
        <w:t>exhibits</w:t>
      </w:r>
      <w:r>
        <w:rPr>
          <w:spacing w:val="-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email.</w:t>
      </w:r>
    </w:p>
    <w:sectPr w:rsidR="00F54B9F" w:rsidSect="00EC6CCE">
      <w:headerReference w:type="default" r:id="rId11"/>
      <w:footerReference w:type="default" r:id="rId12"/>
      <w:pgSz w:w="12240" w:h="15840"/>
      <w:pgMar w:top="1260" w:right="1000" w:bottom="900" w:left="720" w:header="517" w:footer="7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9815D" w14:textId="77777777" w:rsidR="00EC6CCE" w:rsidRDefault="00EC6CCE">
      <w:r>
        <w:separator/>
      </w:r>
    </w:p>
  </w:endnote>
  <w:endnote w:type="continuationSeparator" w:id="0">
    <w:p w14:paraId="4AB751F7" w14:textId="77777777" w:rsidR="00EC6CCE" w:rsidRDefault="00EC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epler Std">
    <w:altName w:val="Cambria"/>
    <w:panose1 w:val="0204060306070A060204"/>
    <w:charset w:val="00"/>
    <w:family w:val="roman"/>
    <w:notTrueType/>
    <w:pitch w:val="variable"/>
    <w:sig w:usb0="0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ralucent Medium">
    <w:altName w:val="Calibri"/>
    <w:panose1 w:val="00000000000000000000"/>
    <w:charset w:val="00"/>
    <w:family w:val="modern"/>
    <w:notTrueType/>
    <w:pitch w:val="variable"/>
    <w:sig w:usb0="A00000EF" w:usb1="4000006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BE5A" w14:textId="13E5D064" w:rsidR="00F54B9F" w:rsidRDefault="0048405D" w:rsidP="00EC6C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4832" behindDoc="1" locked="0" layoutInCell="1" allowOverlap="1" wp14:anchorId="656F490F" wp14:editId="6EAD92CE">
              <wp:simplePos x="0" y="0"/>
              <wp:positionH relativeFrom="page">
                <wp:posOffset>6369050</wp:posOffset>
              </wp:positionH>
              <wp:positionV relativeFrom="page">
                <wp:posOffset>9596755</wp:posOffset>
              </wp:positionV>
              <wp:extent cx="554990" cy="149225"/>
              <wp:effectExtent l="0" t="0" r="0" b="0"/>
              <wp:wrapNone/>
              <wp:docPr id="7806506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02AE5" w14:textId="2E77A005" w:rsidR="00F54B9F" w:rsidRDefault="00EC6CCE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 0</w:t>
                          </w:r>
                          <w:r w:rsidR="00D508F0"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t>/202</w:t>
                          </w:r>
                          <w:r w:rsidR="00D508F0">
                            <w:rPr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F49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1.5pt;margin-top:755.65pt;width:43.7pt;height:11.75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" filled="f" stroked="f">
              <v:textbox inset="0,0,0,0">
                <w:txbxContent>
                  <w:p w14:paraId="0C602AE5" w14:textId="2E77A005" w:rsidR="00F54B9F" w:rsidRDefault="00EC6CCE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 0</w:t>
                    </w:r>
                    <w:r w:rsidR="00D508F0"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t>/202</w:t>
                    </w:r>
                    <w:r w:rsidR="00D508F0">
                      <w:rPr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AC63A" w14:textId="77777777" w:rsidR="00EC6CCE" w:rsidRDefault="00EC6CCE">
      <w:r>
        <w:separator/>
      </w:r>
    </w:p>
  </w:footnote>
  <w:footnote w:type="continuationSeparator" w:id="0">
    <w:p w14:paraId="2EE3938B" w14:textId="77777777" w:rsidR="00EC6CCE" w:rsidRDefault="00EC6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6175A" w14:textId="480BD4A6" w:rsidR="00F54B9F" w:rsidRDefault="008413B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3A60F796" wp14:editId="4E192375">
          <wp:simplePos x="0" y="0"/>
          <wp:positionH relativeFrom="margin">
            <wp:align>left</wp:align>
          </wp:positionH>
          <wp:positionV relativeFrom="paragraph">
            <wp:posOffset>28575</wp:posOffset>
          </wp:positionV>
          <wp:extent cx="6845300" cy="1098550"/>
          <wp:effectExtent l="0" t="0" r="0" b="0"/>
          <wp:wrapTopAndBottom/>
          <wp:docPr id="1428588155" name="Picture 1" descr="A line drawing of buildings, a house, and a tree with the logo for the M-NCPPC Prince George's County Planning Depart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963107" name="Picture 1" descr="A line drawing of buildings, a house, and a tree with the logo for the M-NCPPC Prince George's County Planning Departmen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0" t="18870" r="15796" b="27713"/>
                  <a:stretch/>
                </pic:blipFill>
                <pic:spPr bwMode="auto">
                  <a:xfrm>
                    <a:off x="0" y="0"/>
                    <a:ext cx="6845300" cy="1098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05D">
      <w:rPr>
        <w:noProof/>
      </w:rPr>
      <mc:AlternateContent>
        <mc:Choice Requires="wps">
          <w:drawing>
            <wp:anchor distT="45720" distB="45720" distL="114300" distR="114300" simplePos="0" relativeHeight="487548928" behindDoc="1" locked="0" layoutInCell="1" allowOverlap="1" wp14:anchorId="3F10C374" wp14:editId="60E12A31">
              <wp:simplePos x="0" y="0"/>
              <wp:positionH relativeFrom="column">
                <wp:posOffset>1503680</wp:posOffset>
              </wp:positionH>
              <wp:positionV relativeFrom="margin">
                <wp:posOffset>-838200</wp:posOffset>
              </wp:positionV>
              <wp:extent cx="3839845" cy="381000"/>
              <wp:effectExtent l="0" t="0" r="0" b="0"/>
              <wp:wrapNone/>
              <wp:docPr id="20815186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984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B7D33" w14:textId="77777777" w:rsidR="00BC7F4A" w:rsidRPr="000B49E4" w:rsidRDefault="00BC7F4A" w:rsidP="00BC7F4A">
                          <w:pPr>
                            <w:rPr>
                              <w:rFonts w:ascii="Segoe UI" w:hAnsi="Segoe UI" w:cs="Segoe UI"/>
                              <w:color w:val="A6A6A6" w:themeColor="background1" w:themeShade="A6"/>
                              <w:sz w:val="52"/>
                              <w:szCs w:val="52"/>
                            </w:rPr>
                          </w:pPr>
                          <w:r w:rsidRPr="000B49E4">
                            <w:rPr>
                              <w:rFonts w:ascii="Segoe UI" w:hAnsi="Segoe UI" w:cs="Segoe UI"/>
                              <w:color w:val="A6A6A6" w:themeColor="background1" w:themeShade="A6"/>
                              <w:sz w:val="52"/>
                              <w:szCs w:val="52"/>
                            </w:rPr>
                            <w:t>FOR PRIOR ORDINANC</w:t>
                          </w:r>
                          <w:r>
                            <w:rPr>
                              <w:rFonts w:ascii="Segoe UI" w:hAnsi="Segoe UI" w:cs="Segoe UI"/>
                              <w:color w:val="A6A6A6" w:themeColor="background1" w:themeShade="A6"/>
                              <w:sz w:val="52"/>
                              <w:szCs w:val="52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0C3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8.4pt;margin-top:-66pt;width:302.35pt;height:30pt;z-index:-1576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" filled="f" stroked="f">
              <v:textbox inset="0,0,0,0">
                <w:txbxContent>
                  <w:p w14:paraId="181B7D33" w14:textId="77777777" w:rsidR="00BC7F4A" w:rsidRPr="000B49E4" w:rsidRDefault="00BC7F4A" w:rsidP="00BC7F4A">
                    <w:pPr>
                      <w:rPr>
                        <w:rFonts w:ascii="Segoe UI" w:hAnsi="Segoe UI" w:cs="Segoe UI"/>
                        <w:color w:val="A6A6A6" w:themeColor="background1" w:themeShade="A6"/>
                        <w:sz w:val="52"/>
                        <w:szCs w:val="52"/>
                      </w:rPr>
                    </w:pPr>
                    <w:r w:rsidRPr="000B49E4">
                      <w:rPr>
                        <w:rFonts w:ascii="Segoe UI" w:hAnsi="Segoe UI" w:cs="Segoe UI"/>
                        <w:color w:val="A6A6A6" w:themeColor="background1" w:themeShade="A6"/>
                        <w:sz w:val="52"/>
                        <w:szCs w:val="52"/>
                      </w:rPr>
                      <w:t>FOR PRIOR ORDINANC</w:t>
                    </w:r>
                    <w:r>
                      <w:rPr>
                        <w:rFonts w:ascii="Segoe UI" w:hAnsi="Segoe UI" w:cs="Segoe UI"/>
                        <w:color w:val="A6A6A6" w:themeColor="background1" w:themeShade="A6"/>
                        <w:sz w:val="52"/>
                        <w:szCs w:val="52"/>
                      </w:rPr>
                      <w:t>E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48405D">
      <w:rPr>
        <w:noProof/>
      </w:rPr>
      <mc:AlternateContent>
        <mc:Choice Requires="wps">
          <w:drawing>
            <wp:anchor distT="0" distB="0" distL="114300" distR="114300" simplePos="0" relativeHeight="487547904" behindDoc="1" locked="0" layoutInCell="1" allowOverlap="1" wp14:anchorId="220FC85F" wp14:editId="54FF6667">
              <wp:simplePos x="0" y="0"/>
              <wp:positionH relativeFrom="page">
                <wp:posOffset>5632450</wp:posOffset>
              </wp:positionH>
              <wp:positionV relativeFrom="page">
                <wp:posOffset>582295</wp:posOffset>
              </wp:positionV>
              <wp:extent cx="1694815" cy="571500"/>
              <wp:effectExtent l="0" t="0" r="0" b="0"/>
              <wp:wrapNone/>
              <wp:docPr id="36507253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81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36C94" w14:textId="77777777" w:rsidR="00EC6CCE" w:rsidRPr="001D4350" w:rsidRDefault="00EC6CCE" w:rsidP="00EC6CCE">
                          <w:pPr>
                            <w:ind w:left="632" w:right="94" w:hanging="522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4350">
                            <w:rPr>
                              <w:sz w:val="18"/>
                              <w:szCs w:val="18"/>
                            </w:rPr>
                            <w:t>Development Review Division</w:t>
                          </w:r>
                        </w:p>
                        <w:p w14:paraId="74A94A45" w14:textId="77777777" w:rsidR="00EC6CCE" w:rsidRPr="001D4350" w:rsidRDefault="00EC6CCE" w:rsidP="00EC6CCE">
                          <w:pPr>
                            <w:ind w:left="632" w:right="94" w:hanging="522"/>
                            <w:jc w:val="right"/>
                            <w:rPr>
                              <w:color w:val="221F1F"/>
                              <w:sz w:val="18"/>
                              <w:szCs w:val="18"/>
                            </w:rPr>
                          </w:pPr>
                          <w:r w:rsidRPr="001D4350">
                            <w:rPr>
                              <w:color w:val="221F1F"/>
                              <w:sz w:val="18"/>
                              <w:szCs w:val="18"/>
                            </w:rPr>
                            <w:t>1616 McCormick Drive</w:t>
                          </w:r>
                        </w:p>
                        <w:p w14:paraId="1D933779" w14:textId="77777777" w:rsidR="00EC6CCE" w:rsidRDefault="00EC6CCE" w:rsidP="00EC6CCE">
                          <w:pPr>
                            <w:ind w:left="541" w:right="13" w:hanging="522"/>
                            <w:jc w:val="right"/>
                            <w:rPr>
                              <w:sz w:val="18"/>
                            </w:rPr>
                          </w:pPr>
                          <w:r w:rsidRPr="001D4350">
                            <w:rPr>
                              <w:color w:val="221F1F"/>
                              <w:sz w:val="18"/>
                              <w:szCs w:val="18"/>
                            </w:rPr>
                            <w:t>Largo, MD 20774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0FC85F" id="Text Box 6" o:spid="_x0000_s1027" type="#_x0000_t202" style="position:absolute;margin-left:443.5pt;margin-top:45.85pt;width:133.45pt;height:45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" filled="f" stroked="f">
              <v:textbox inset="0,0,0,0">
                <w:txbxContent>
                  <w:p w14:paraId="4B436C94" w14:textId="77777777" w:rsidR="00EC6CCE" w:rsidRPr="001D4350" w:rsidRDefault="00EC6CCE" w:rsidP="00EC6CCE">
                    <w:pPr>
                      <w:ind w:left="632" w:right="94" w:hanging="522"/>
                      <w:jc w:val="right"/>
                      <w:rPr>
                        <w:sz w:val="18"/>
                        <w:szCs w:val="18"/>
                      </w:rPr>
                    </w:pPr>
                    <w:r w:rsidRPr="001D4350">
                      <w:rPr>
                        <w:sz w:val="18"/>
                        <w:szCs w:val="18"/>
                      </w:rPr>
                      <w:t>Development Review Division</w:t>
                    </w:r>
                  </w:p>
                  <w:p w14:paraId="74A94A45" w14:textId="77777777" w:rsidR="00EC6CCE" w:rsidRPr="001D4350" w:rsidRDefault="00EC6CCE" w:rsidP="00EC6CCE">
                    <w:pPr>
                      <w:ind w:left="632" w:right="94" w:hanging="522"/>
                      <w:jc w:val="right"/>
                      <w:rPr>
                        <w:color w:val="221F1F"/>
                        <w:sz w:val="18"/>
                        <w:szCs w:val="18"/>
                      </w:rPr>
                    </w:pPr>
                    <w:r w:rsidRPr="001D4350">
                      <w:rPr>
                        <w:color w:val="221F1F"/>
                        <w:sz w:val="18"/>
                        <w:szCs w:val="18"/>
                      </w:rPr>
                      <w:t>1616 McCormick Drive</w:t>
                    </w:r>
                  </w:p>
                  <w:p w14:paraId="1D933779" w14:textId="77777777" w:rsidR="00EC6CCE" w:rsidRDefault="00EC6CCE" w:rsidP="00EC6CCE">
                    <w:pPr>
                      <w:ind w:left="541" w:right="13" w:hanging="522"/>
                      <w:jc w:val="right"/>
                      <w:rPr>
                        <w:sz w:val="18"/>
                      </w:rPr>
                    </w:pPr>
                    <w:r w:rsidRPr="001D4350">
                      <w:rPr>
                        <w:color w:val="221F1F"/>
                        <w:sz w:val="18"/>
                        <w:szCs w:val="18"/>
                      </w:rPr>
                      <w:t>Largo, MD 20774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26A20"/>
    <w:multiLevelType w:val="hybridMultilevel"/>
    <w:tmpl w:val="4C2A4E50"/>
    <w:lvl w:ilvl="0" w:tplc="D520B49C">
      <w:start w:val="1"/>
      <w:numFmt w:val="decimal"/>
      <w:lvlText w:val="(%1)"/>
      <w:lvlJc w:val="left"/>
      <w:pPr>
        <w:ind w:left="2157" w:hanging="720"/>
        <w:jc w:val="right"/>
      </w:pPr>
      <w:rPr>
        <w:rFonts w:ascii="Kepler Std" w:eastAsia="Kepler Std" w:hAnsi="Kepler Std" w:cs="Kepler Std" w:hint="default"/>
        <w:spacing w:val="-1"/>
        <w:w w:val="100"/>
        <w:sz w:val="24"/>
        <w:szCs w:val="24"/>
        <w:lang w:val="en-US" w:eastAsia="en-US" w:bidi="ar-SA"/>
      </w:rPr>
    </w:lvl>
    <w:lvl w:ilvl="1" w:tplc="37A2CB54">
      <w:start w:val="1"/>
      <w:numFmt w:val="lowerLetter"/>
      <w:lvlText w:val="(%2)"/>
      <w:lvlJc w:val="left"/>
      <w:pPr>
        <w:ind w:left="2877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CD7EE21A"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3" w:tplc="ADD67F78">
      <w:numFmt w:val="bullet"/>
      <w:lvlText w:val="•"/>
      <w:lvlJc w:val="left"/>
      <w:pPr>
        <w:ind w:left="4577" w:hanging="720"/>
      </w:pPr>
      <w:rPr>
        <w:rFonts w:hint="default"/>
        <w:lang w:val="en-US" w:eastAsia="en-US" w:bidi="ar-SA"/>
      </w:rPr>
    </w:lvl>
    <w:lvl w:ilvl="4" w:tplc="C4B00A58">
      <w:numFmt w:val="bullet"/>
      <w:lvlText w:val="•"/>
      <w:lvlJc w:val="left"/>
      <w:pPr>
        <w:ind w:left="5426" w:hanging="720"/>
      </w:pPr>
      <w:rPr>
        <w:rFonts w:hint="default"/>
        <w:lang w:val="en-US" w:eastAsia="en-US" w:bidi="ar-SA"/>
      </w:rPr>
    </w:lvl>
    <w:lvl w:ilvl="5" w:tplc="39D042E2">
      <w:numFmt w:val="bullet"/>
      <w:lvlText w:val="•"/>
      <w:lvlJc w:val="left"/>
      <w:pPr>
        <w:ind w:left="6275" w:hanging="720"/>
      </w:pPr>
      <w:rPr>
        <w:rFonts w:hint="default"/>
        <w:lang w:val="en-US" w:eastAsia="en-US" w:bidi="ar-SA"/>
      </w:rPr>
    </w:lvl>
    <w:lvl w:ilvl="6" w:tplc="3AC4F23E">
      <w:numFmt w:val="bullet"/>
      <w:lvlText w:val="•"/>
      <w:lvlJc w:val="left"/>
      <w:pPr>
        <w:ind w:left="7124" w:hanging="720"/>
      </w:pPr>
      <w:rPr>
        <w:rFonts w:hint="default"/>
        <w:lang w:val="en-US" w:eastAsia="en-US" w:bidi="ar-SA"/>
      </w:rPr>
    </w:lvl>
    <w:lvl w:ilvl="7" w:tplc="B566AE22">
      <w:numFmt w:val="bullet"/>
      <w:lvlText w:val="•"/>
      <w:lvlJc w:val="left"/>
      <w:pPr>
        <w:ind w:left="7973" w:hanging="720"/>
      </w:pPr>
      <w:rPr>
        <w:rFonts w:hint="default"/>
        <w:lang w:val="en-US" w:eastAsia="en-US" w:bidi="ar-SA"/>
      </w:rPr>
    </w:lvl>
    <w:lvl w:ilvl="8" w:tplc="F87E895A">
      <w:numFmt w:val="bullet"/>
      <w:lvlText w:val="•"/>
      <w:lvlJc w:val="left"/>
      <w:pPr>
        <w:ind w:left="8822" w:hanging="720"/>
      </w:pPr>
      <w:rPr>
        <w:rFonts w:hint="default"/>
        <w:lang w:val="en-US" w:eastAsia="en-US" w:bidi="ar-SA"/>
      </w:rPr>
    </w:lvl>
  </w:abstractNum>
  <w:num w:numId="1" w16cid:durableId="117561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9F"/>
    <w:rsid w:val="000021BF"/>
    <w:rsid w:val="00171553"/>
    <w:rsid w:val="002E79CD"/>
    <w:rsid w:val="003450A0"/>
    <w:rsid w:val="0048405D"/>
    <w:rsid w:val="0056738C"/>
    <w:rsid w:val="00616021"/>
    <w:rsid w:val="0067756B"/>
    <w:rsid w:val="007C3F52"/>
    <w:rsid w:val="007E5862"/>
    <w:rsid w:val="008413B2"/>
    <w:rsid w:val="00965D2E"/>
    <w:rsid w:val="00AC55E9"/>
    <w:rsid w:val="00BB0BE7"/>
    <w:rsid w:val="00BC745E"/>
    <w:rsid w:val="00BC7F4A"/>
    <w:rsid w:val="00BD4E05"/>
    <w:rsid w:val="00C049F1"/>
    <w:rsid w:val="00C61279"/>
    <w:rsid w:val="00CF55F0"/>
    <w:rsid w:val="00D025DD"/>
    <w:rsid w:val="00D508F0"/>
    <w:rsid w:val="00DC10B2"/>
    <w:rsid w:val="00E057A3"/>
    <w:rsid w:val="00E21F52"/>
    <w:rsid w:val="00EC6CCE"/>
    <w:rsid w:val="00F5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1141"/>
  <w15:docId w15:val="{1ABBC289-7B7D-4BC5-A407-BE2567F4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epler Std" w:eastAsia="Kepler Std" w:hAnsi="Kepler Std" w:cs="Kepler St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2"/>
      <w:ind w:left="3223" w:right="2946" w:hanging="1"/>
      <w:jc w:val="center"/>
    </w:pPr>
    <w:rPr>
      <w:rFonts w:ascii="Paralucent Medium" w:eastAsia="Paralucent Medium" w:hAnsi="Paralucent Medium" w:cs="Paralucent Medium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2877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75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56B"/>
    <w:rPr>
      <w:rFonts w:ascii="Kepler Std" w:eastAsia="Kepler Std" w:hAnsi="Kepler Std" w:cs="Kepler Std"/>
    </w:rPr>
  </w:style>
  <w:style w:type="paragraph" w:styleId="Footer">
    <w:name w:val="footer"/>
    <w:basedOn w:val="Normal"/>
    <w:link w:val="FooterChar"/>
    <w:uiPriority w:val="99"/>
    <w:unhideWhenUsed/>
    <w:rsid w:val="006775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56B"/>
    <w:rPr>
      <w:rFonts w:ascii="Kepler Std" w:eastAsia="Kepler Std" w:hAnsi="Kepler Std" w:cs="Kepler Std"/>
    </w:rPr>
  </w:style>
  <w:style w:type="character" w:styleId="CommentReference">
    <w:name w:val="annotation reference"/>
    <w:basedOn w:val="DefaultParagraphFont"/>
    <w:uiPriority w:val="99"/>
    <w:semiHidden/>
    <w:unhideWhenUsed/>
    <w:rsid w:val="00BB0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0B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0BE7"/>
    <w:rPr>
      <w:rFonts w:ascii="Kepler Std" w:eastAsia="Kepler Std" w:hAnsi="Kepler Std" w:cs="Kepler St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BE7"/>
    <w:rPr>
      <w:rFonts w:ascii="Kepler Std" w:eastAsia="Kepler Std" w:hAnsi="Kepler Std" w:cs="Kepler Std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57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municode.com/md/prince_george%27s_county/codes/code_of_ordinances?nodeId=PTIITI17PULOLAPRGECOMA_SUBTITLE_23ROSI_DIV5RO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gplanning.org/wp-content/uploads/2025/03/1301-petition-for-minor-vacation-v1-1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gplanning.org/wp-content/uploads/2025/03/1301-petition-for-minor-vacation-v1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municode.com/md/prince_george%27s_county/codes/code_of_ordinances?nodeId=PTIITI17PULOLAPRGECOMA_SUBTITLE_23ROSI_DIV5RO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VACATION PETITION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VACATION PETITION</dc:title>
  <dc:creator>Planning Dept.</dc:creator>
  <cp:lastModifiedBy>Sonnett, Shannon</cp:lastModifiedBy>
  <cp:revision>2</cp:revision>
  <dcterms:created xsi:type="dcterms:W3CDTF">2025-04-08T15:13:00Z</dcterms:created>
  <dcterms:modified xsi:type="dcterms:W3CDTF">2025-04-08T15:13:00Z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2021-02-23T00:00:00Z</vt:filetime>
  </property>
</Properties>
</file>